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CD2" w:rsidRDefault="00F72CD2" w:rsidP="00F72CD2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pPr w:leftFromText="180" w:rightFromText="180" w:vertAnchor="text" w:horzAnchor="margin" w:tblpX="-100" w:tblpY="46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36"/>
        <w:gridCol w:w="6095"/>
      </w:tblGrid>
      <w:tr w:rsidR="00F72CD2" w:rsidRPr="00881DA3" w:rsidTr="00F72CD2">
        <w:trPr>
          <w:trHeight w:val="356"/>
        </w:trPr>
        <w:tc>
          <w:tcPr>
            <w:tcW w:w="10031" w:type="dxa"/>
            <w:gridSpan w:val="2"/>
            <w:vAlign w:val="center"/>
          </w:tcPr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1DA3">
              <w:rPr>
                <w:rFonts w:ascii="Times New Roman" w:hAnsi="Times New Roman"/>
                <w:sz w:val="24"/>
                <w:szCs w:val="24"/>
              </w:rPr>
              <w:t>Наименование товара:</w:t>
            </w: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 xml:space="preserve"> Модульная конструкция фельдшерско-акушерского пункта 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 xml:space="preserve">Код по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ОКПД 2 - </w:t>
            </w: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>16.23.20.140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  <w:vAlign w:val="center"/>
          </w:tcPr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1DA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095" w:type="dxa"/>
            <w:vAlign w:val="center"/>
          </w:tcPr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81DA3">
              <w:rPr>
                <w:rFonts w:ascii="Times New Roman" w:hAnsi="Times New Roman"/>
                <w:b/>
                <w:sz w:val="24"/>
                <w:szCs w:val="24"/>
              </w:rPr>
              <w:t>Показатели (характеристики) товара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Объект закупки: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Модульная конструкция фельдшерско-акушерского пункта изготовлена согласно </w:t>
            </w:r>
            <w:hyperlink r:id="rId4" w:history="1">
              <w:r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ГОСТ </w:t>
              </w:r>
              <w:proofErr w:type="gramStart"/>
              <w:r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>Р</w:t>
              </w:r>
              <w:proofErr w:type="gramEnd"/>
              <w:r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 58759-2019</w:t>
              </w:r>
            </w:hyperlink>
            <w:r w:rsidRPr="00881DA3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"Здания и сооружения мобильные (инвентарные). Классификация. Термины и определения"</w:t>
            </w:r>
          </w:p>
          <w:p w:rsidR="00F72CD2" w:rsidRPr="00881DA3" w:rsidRDefault="007725BF" w:rsidP="00F7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hyperlink r:id="rId5" w:history="1">
              <w:r w:rsidR="00F72CD2"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ГОСТ </w:t>
              </w:r>
              <w:proofErr w:type="gramStart"/>
              <w:r w:rsidR="00F72CD2"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>Р</w:t>
              </w:r>
              <w:proofErr w:type="gramEnd"/>
              <w:r w:rsidR="00F72CD2" w:rsidRPr="00881DA3">
                <w:rPr>
                  <w:rFonts w:ascii="Times New Roman" w:eastAsiaTheme="minorHAnsi" w:hAnsi="Times New Roman"/>
                  <w:color w:val="000000" w:themeColor="text1"/>
                  <w:sz w:val="24"/>
                  <w:szCs w:val="24"/>
                </w:rPr>
                <w:t xml:space="preserve"> 58760-2019</w:t>
              </w:r>
            </w:hyperlink>
            <w:r w:rsidR="00F72CD2" w:rsidRPr="00881DA3">
              <w:rPr>
                <w:rFonts w:ascii="Times New Roman" w:eastAsiaTheme="minorHAnsi" w:hAnsi="Times New Roman"/>
                <w:color w:val="000000" w:themeColor="text1"/>
                <w:sz w:val="24"/>
                <w:szCs w:val="24"/>
              </w:rPr>
              <w:t xml:space="preserve"> "Здания мобильные (инвентарные). Общие технические условия"</w:t>
            </w:r>
            <w:r w:rsidR="00F72CD2"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соблюдением действующих норм и правил.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собранном виде расстановка модульной конструкции фельдшерско-акушерского пункта (далее – Товар)  формирует внутреннее пространство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ФАПа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 общей крышей с закрытым периметром, с общими системами инженерного обеспечения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 в максимальной заводской готовности (отопление, горячее и холодное водоснабжение, канализация, электрическое освещение, места подключения внешних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электрических приборов, контурное заземление,</w:t>
            </w:r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 вход в техническое помещение </w:t>
            </w:r>
            <w:proofErr w:type="spellStart"/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ФАПа</w:t>
            </w:r>
            <w:proofErr w:type="spellEnd"/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>.</w:t>
            </w:r>
            <w:proofErr w:type="gramEnd"/>
            <w:r w:rsidRPr="00881DA3">
              <w:rPr>
                <w:rFonts w:ascii="Times New Roman" w:eastAsia="Times New Roman" w:hAnsi="Times New Roman"/>
                <w:spacing w:val="1"/>
                <w:sz w:val="24"/>
                <w:szCs w:val="24"/>
                <w:shd w:val="clear" w:color="auto" w:fill="FFFFFF"/>
                <w:lang w:eastAsia="ru-RU"/>
              </w:rPr>
              <w:t xml:space="preserve"> Вход в  центральную часть здания оборудован входной группой состоящей из ступеней и пандуса, соответствующих постановлению Правительства РФ от 29.03.2019 г. №363 об утверждении программы «Доступная среда» на 2011-2025 г. г.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Поставка и монтаж товара осуществлен поставщиком на предоставленный земельный участок, обеспечивающий стабильное горизонтальное положение товара.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эксплуатационные характеристики: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модуля – фельдшерско-акушерский пункт для оказания медицинской помощи населению.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Высота помещений – не менее 2,6 метра.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площадь  здания – не менее 99,0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Перечень помещений, входящих в состав модуля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ind w:firstLine="731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Набор и площади помещений </w:t>
            </w:r>
            <w:proofErr w:type="spellStart"/>
            <w:r w:rsidRPr="00881DA3">
              <w:rPr>
                <w:rFonts w:ascii="Times New Roman" w:eastAsia="Times New Roman" w:hAnsi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ФАПа</w:t>
            </w:r>
            <w:proofErr w:type="spellEnd"/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Рекомендуемый минимальный набор и площади помещений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соответствует требованиям СанПиН 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 и обеспечивает  доступность оказания медицинской помощи населению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333333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тамбур главного входа не менее 4,0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гардероб для пациентов не менее 3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вестибюль-ожидальня не менее 10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кабинет приема  не менее 20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процедурный кабинет  не менее 12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- прививочный кабинет не менее 12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лекарственных средств   не менее 4 кв.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персонала с гардеробом не менее 4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уборочного инвентаря, моющих и дезинфицирующих средств   не менее 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хранения грязного белья не менее 2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</w:p>
          <w:p w:rsidR="00F72CD2" w:rsidRPr="00740CD9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санузел с доступом маломобильных групп населения не менее 4 м</w:t>
            </w:r>
            <w:proofErr w:type="gramStart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40CD9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помещение для хранения чистого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белья не менее 2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технические помещения: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bookmarkStart w:id="0" w:name="_GoBack"/>
            <w:bookmarkEnd w:id="0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под установку котельного оборудования  не менее 4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дизельной установки не менее 4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; 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для хранение емкостей под воду  не менее 4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- помещение для обслуживающего персонала (кочегара) с санузлом  не менее 6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;</w:t>
            </w:r>
          </w:p>
          <w:p w:rsidR="00F72CD2" w:rsidRPr="00881DA3" w:rsidRDefault="00F72CD2" w:rsidP="00F72CD2">
            <w:pPr>
              <w:shd w:val="clear" w:color="auto" w:fill="FFFFFF"/>
              <w:autoSpaceDE w:val="0"/>
              <w:autoSpaceDN w:val="0"/>
              <w:adjustRightInd w:val="0"/>
              <w:spacing w:after="0" w:line="140" w:lineRule="atLeast"/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-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электрощитовая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 xml:space="preserve"> не менее 2 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Основные технические характеристики и требования к конструктивным решениям и материалам несущих и ограждающих конструкций: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Каркас фельдшерско-акушерского пункта изготовлен из сертифицированных, быстровозводимых,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энергоэффективных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строительных конструкций комплексной заводской поставки. 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Каркас здания – металлический из сложно-гнутых металлических профилей, ячеистой конструкции, с усиленным, независимым грузовым поясом с верхним расположением грузовых петель.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Конструкция стен здания – трехслойные структурные сэндвич-панели  на основе минеральной ваты на синтетическом связующем, соответствующих ГОСТ 9573-2012 и оцинкованной рулонной листовой стали (ГОСТ 14918-2020) толщиной не менее  0,7 мм., </w:t>
            </w:r>
            <w:r w:rsidRPr="00881DA3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поставляемых на фактическое место поставки  и собираемых в единую конструктивную 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систему.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Снаружи здание отделано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металлосайдингом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типа светлых тонов, толщиной не менее  0,5 мм</w:t>
            </w: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.,  </w:t>
            </w:r>
            <w:proofErr w:type="gram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поставляемых на фактическое место поставки  и собираемых в единую конструктивную систему.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Быстровозводимая  конструкция здания: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обеспечивает необходимую технологичность при эксплуатации;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обеспечивает возможность монтажа строительных конструкций на объекте без использования тяжелого грузоподъемного оборудования;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обеспечивает высокое сопротивление к механическим нагрузкам, жесткость, геометрическую стабильность и оптимальную надежность;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обеспечивает сохранение заданных теплофизических параметров помещений согласно СП 50.13330.2012 Тепловая защита зданий. Актуализированная редакция СНиП 23-02-2003;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энергоэффективность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здания соответствует нормативам для района установки.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Для утепления здания используется  материал с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коэффициентом теплопроводности не менее 0,037        Вт /мК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   толщиной теплоизоляционных слоев здания: цокольное перекрытие не менее 250 мм; наружные стены  не менее 200 мм; потолок не менее  250 мм.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Вся конструкция здания устанавливается на винтовые металлические конструкции, входящие в комплект модульной конструкции фельдшерско-акушерского пункта, с шагом не более 2,5 метра, диаметром не менее 89 мм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толщиной стенки трубы не менее 4 мм., длиной не менее 3 метров из стали марки не ниже С345. Винтовые конструкции  связаны в единую конструкцию ростверком.  Конструкции ростверка обработаны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антикоррозийными составами. 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Напряжение в сети - 380/220В.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функциональной пожарной опасности – Ф3.4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Класс ответственности - не ниже IV.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Тепловая защита здания -  СП 50.13330.2012.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Расчетная температура внутри помещений - не менее  20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Расчетное значение снеговой нагрузки, кПа (кгс/м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не менее – 0,8 (80).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Расчетное значение ветрового давления, кПа (кгс/м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не менее – 0,3 (30).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Нормативные значения равномерно распределенных нагрузок от воздействия людей, мебели и оборудования на полы, кПа (кг/м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), не менее - 250.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Освещенность внутри здания - не менее 400Лк.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Кровля: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Двухскатная кровля выполнена по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сертифицированным, быстровозводимым,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энергоэффективным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конструкциям комплексной заводской поставки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кровельным профилированным оцинкованным стальным листом не менее НС-44 с цветным защитно-декоративным полимерным покрытием темных тонов. Металлические конс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трукции обработаны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антикоррозийным составом, а деревянные конструкции   </w:t>
            </w:r>
            <w:proofErr w:type="spell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огнебиозащитным</w:t>
            </w:r>
            <w:proofErr w:type="spell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составом.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Водосток наружный  организованный с водоотливами закреплен к несущим элементам кровли, обеспечен вынос карниза кровли  не менее чем на 30 см.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Внутренние стены и перегородка: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Применяются такие материалы как: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влагостойкий гипсокартонный лист, толщиной  не менее 12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износостойким лакокрасочным покрытием, нанесенным заводским способом.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Поверхность стен помещений гладкая, без дефектов (щелей, трещин, дыр),   позволяющим осуществлять влажную уборку и быть устойчивым к использованию моющих и дезинфицирующих средств.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панелей закрыты стыковочными планками в цвет стен.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Отделка стен и перегородок в местах установки санитарных приборов и оборудования, эксплуатация которого связана с возможностью увлажнения стен и перегородок дополнительно укладывается керамическая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плитка на высоту не менее 160 см. от пола и на ширину не менее 20 см. от оборудования и приборов с каждой стороны.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Стены и потолок помещения котельной обшиты огнестойкими гипсокартонными листами и металлическим профилированным листом С-10, пол – металлический лист толщиной не менее 2 мм.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Стены, пол и потолок помещения для хранения лекарственных средств укреплены антивандальными решётками смонтированные во внутренней части стен  из арматурной стали А240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-10 шаг-100 и металлической дверью с решеткой.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Окна: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autoSpaceDE w:val="0"/>
              <w:autoSpaceDN w:val="0"/>
              <w:adjustRightInd w:val="0"/>
              <w:spacing w:after="0" w:line="240" w:lineRule="auto"/>
              <w:ind w:firstLine="629"/>
              <w:jc w:val="both"/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Оконные блоки из ПВХ-профилей.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Окна </w:t>
            </w:r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2-х створчатые, (одна створка глухая, вторая с поворотно-откидным механизмом). Размер 2-х створчатых окон, </w:t>
            </w:r>
            <w:proofErr w:type="gram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мм</w:t>
            </w:r>
            <w:proofErr w:type="gram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. (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), не менее 1400х1200 мм</w:t>
            </w:r>
            <w:proofErr w:type="gram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устанавливаются в кабинете приема, процедурном, прививочном, помещении персонала.  В гардеробной и вестибюле (ожидальне)  (размер (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) 1400х800мм.), помещениях для хранения чистого и грязного белья, уборочного инвентаря, помещении для обслуживающего персонала и санузле (размер (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ВхШ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) 1400х800мм.) установлены одностворчатые окна с поворотно-откидным механизмом. Снаружи, п</w:t>
            </w:r>
            <w:r w:rsidRPr="00881DA3">
              <w:rPr>
                <w:rFonts w:ascii="-webkit-standard" w:eastAsia="Times New Roman" w:hAnsi="-webkit-standard" w:hint="eastAsia"/>
                <w:color w:val="000000"/>
                <w:sz w:val="24"/>
                <w:szCs w:val="24"/>
                <w:shd w:val="clear" w:color="auto" w:fill="FFFFFF"/>
                <w:lang w:eastAsia="ru-RU"/>
              </w:rPr>
              <w:t>о</w:t>
            </w:r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периметру  оконного блока, установлены </w:t>
            </w:r>
            <w:proofErr w:type="gram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откосы</w:t>
            </w:r>
            <w:proofErr w:type="gram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отлив из листовой оцинкованной стали с полимерным покрытием. Со стороны помещений, по периметру оконного блока  установлены откосы из пластика и подоконная доска белого цвета. Оконные блоки </w:t>
            </w:r>
            <w:proofErr w:type="spellStart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пятикамерные</w:t>
            </w:r>
            <w:proofErr w:type="spellEnd"/>
            <w:r w:rsidRPr="00881DA3">
              <w:rPr>
                <w:rFonts w:ascii="-webkit-standard" w:eastAsia="Times New Roman" w:hAnsi="-webkit-standard"/>
                <w:color w:val="000000"/>
                <w:sz w:val="24"/>
                <w:szCs w:val="24"/>
                <w:shd w:val="clear" w:color="auto" w:fill="FFFFFF"/>
                <w:lang w:eastAsia="ru-RU"/>
              </w:rPr>
              <w:t>, в комплект поставки входит москитная сетка.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Двери: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Входная дверь (размер не менее 2000х1320 мм): металлическая, утепленная, противопожарная, толщина металла не менее 1,2 мм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общей толщиной не менее 60 мм, с ручками и врезными или накладными замками, оборудована дверным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доводчиком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Внутренняя дверь в тамбур (размер не менее 2000х1320 мм): двупольная, ПВХ-профиль или алюминиевый со стеклопакетом, оборудована дверным  доводчиком.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Двери в помещения: процедурная, прививочная, кабинет приема, санузел (размер не менее 2000х900 мм): гладкие, глухие,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Двери в бытовую комнату персонала  и технические помещения (размер не менее 2000х750 мм): гладкие, глухие,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Дверь в помещение для хранения лекарственных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средств (размер не менее 2000х750 мм): металлическая антивандальная, с дополнительной установкой металлической решетки с покрытием, обеспечивающим влажную уборку с применением моющих и дезинфицирующих средств без потери потребительских свойств.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Дверь в помещение котельной  (размер не менее 2000х800 мм): металлическая, утепленная, противопожарная.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Двери внутренних помещений комплектуются  врезными замками с защелкой-фиксатором и поворотной ручкой, ключом вертушкой и комплектом ключей, не менее 3-х штук к каждому замку.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Потолок: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Потолок во всех помещениях отделан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негорючей декоративной панелью с лакокрасочным покрытием светлых тонов на основе гипсокартонного листа (ГКЛ).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Стыки между листами панелей закрыты стыковочными планками в цвет потолка. Стык потолка и стен закрыт потолочным плинтусом светлых тонов. 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Поверхность потолка гладкая, без дефектов (щелей, трещин, дыр), позволяющая осуществлять, влажную уборку и устойчива  к использованию моющих и дезинфицирующих средств. 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Наружные стены: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Наружные стены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выполнены из трехслойных панелей с универсальным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утеплителем на основе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минеральной ваты на </w:t>
            </w: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синтетическом</w:t>
            </w:r>
            <w:proofErr w:type="gram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связующем,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 обшивкой с обеих сторон профилированным листом.</w:t>
            </w:r>
          </w:p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Снаружи внешние стены обшиты </w:t>
            </w:r>
            <w:proofErr w:type="spellStart"/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металлосайдингом</w:t>
            </w:r>
            <w:proofErr w:type="spellEnd"/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светлых тонов,</w:t>
            </w:r>
            <w:r w:rsidRPr="00881DA3">
              <w:rPr>
                <w:rFonts w:asciiTheme="minorHAnsi" w:eastAsiaTheme="minorHAnsi" w:hAnsiTheme="minorHAnsi" w:cstheme="minorBidi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>толщиной не менее  0,7 мм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Внутренняя поверхность стен отделана негорючей  панелью с декоративным износостойким лакокрасочным покрытием, нанесенным заводским способом на влагостойкий гипсокартонный лист  покрытие светлых тонов  толщиной не менее 12 мм.   </w:t>
            </w:r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shd w:val="clear" w:color="auto" w:fill="FFFFFF"/>
                <w:lang w:eastAsia="ru-RU"/>
              </w:rPr>
              <w:t xml:space="preserve">  Стыки между листами панелей закрыты стыковочными планками в цвет стен.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Поверхность стен помещений гладкая, без дефектов (щелей, трещин, дыр),   позволяющим осуществлять влажную уборку и быть устойчивым к использованию моющих и дезинфицирующих средств.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Полы: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9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Основа – стальные балки, листовой металл с полимерным покрытием, пароизоляционный слой, теплоизоляционный слой – универсальный теплоизоляционный материал для пола, гидроизоляция – пленка полиэтиленовая техническая толщиной не менее 150 мкм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проклеиванием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стыков, фанера влагостойкая с антисептической пропиткой в два слоя. Покрытие -  гомогенный медицинский линолеум, с износостойкостью не ниже 31 класса, толщиной не менее 2 мм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уложенный на подстилающий слой из фанеры марки ФСФ толщиной не менее 18 мм с антисептической пропиткой. Цвет линолеума бежевых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или светло-коричневых тонов. Укладка линолеума выполнена на клей. Края линолеума заведены на стены на высоту 100-150 мм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закрыты плинтусами.  Стыки (швы) между примыкающими друг к другу листами линолеума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загерметизированы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 (соединены) горячей сваркой.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Электроснабжение: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Электроснабжение  предусмотрено от трехфазной внешней электрической сети с напряжением 380в, частотой 50Гц. Установленная мощность потребителей - до 25 кВт.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Силовое электрооборудование и материалы (вводно-распределительное устройство, распределительные щиты, ящики управления, распределительные, вводные коробки, силовые и контрольные кабели,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электроустановочные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изделия, лотки, короба в пределах здания, осветительное оборудование и материалы (светильники, выключатели, коробки, кабели в пределах здания) соответствует требованиям действующих технических регламентов, ГОСТов, «Правила устройства электроустановок».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Конструкция, вид исполнения, способ установки и класс изоляции электрооборудования, материалов соответствует  номинальному  напряжению сети 380/220В и условиями окружающей среды.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Распределительные силовые сети, сети освещения и управления выполняются кабелями с медными жилами с изоляцией и оболочкой, не распространяющей горение из поливинилхлорида кабелем типа ВВГ, обладающие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огнеустойчивостью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с низким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дым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-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газовыделением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 Все  сети уложены в пластиковые кабел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ь-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каналы.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здании установлены штепсельные розетки с заземляющими контактами. Для защиты групповых линий, питающих штепсельные розетки для переносных электрических приборов, предусмотрено устройство защитного отключения (УЗО) с номинальным отключающим дифференциальным током не более 30 мА.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помещениях процедурной, прививочной, кабинете приема и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вестибюле-ожидальной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установлены розетки для бактерицидных облучателей с управлением с внешней стороны двери. Во всех помещениях установлено не менее 5 розеток в каждом. 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Контур заземления выполнен согласно «Правила устройства электроустановок».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Предусмотрено резервное электропитание от бензинового генератора, мощностью не менее 5 кВт</w:t>
            </w:r>
            <w:proofErr w:type="gram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установленного в отдельном помещении, с автоматическим переключением.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Освещение: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Освещение вестибюля-ожидальни предусмотрено совмещенное: окно и потолочные светильники. В помещениях: процедурной, прививочной, кабинете приема и комнате персонала - освещение совмещенное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(окна и потолочные светильники). Помещение для хранения лекарственных средств и санузлы оборудованы потолочными светильниками.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Рабочее и аварийное освещение выполнено в соответствии с функциональными требованиями. Светильники снабжены светодиодными лампами, соответствуя назначению помещений. Корпус светильников закрытого типа, обеспечивающий нормы освещенности, а также удобство обслуживания осветительной установки и управления. Над входными дверями в здание установлены влагозащищенные светильники, с энергосберегающими лампами.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Над дверями помещений медицинского назначения оборудовано табло: «не входить», с управлением из кабинета.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Отопление:</w:t>
            </w:r>
          </w:p>
        </w:tc>
        <w:tc>
          <w:tcPr>
            <w:tcW w:w="6095" w:type="dxa"/>
          </w:tcPr>
          <w:p w:rsidR="00F72CD2" w:rsidRPr="000C1BD6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Система отопления: Комбинированная  </w:t>
            </w:r>
          </w:p>
          <w:p w:rsidR="00F72CD2" w:rsidRPr="000C1BD6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Основная - Система отопления: жидкостная (не замерзающий теплоноситель нижний температурный придел минус 50 С), во всех помещениях установлены биметаллические </w:t>
            </w:r>
            <w:r w:rsidRPr="000C1BD6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</w:rPr>
              <w:t>нагревательные приборы, которые должны иметь поверхность, исключающую абсорбирование пыли и устойчивую к воздействию моющих и дезинфицирующих растворов,</w:t>
            </w:r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трубная разводка – армированный полипропилен, наличие необходимой запорной арматуры.</w:t>
            </w:r>
            <w:proofErr w:type="gramEnd"/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C1BD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Источник тепла – комбинированный котел, со встроенными электрическими тэнами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мощностью не менее 9 КВт, работающий на твердом топливе, расположенный в отдельном помещении, мощностью не менее 20 кВт, обеспечивающей нормативную температуру в помещениях.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Предусмотрено устройство выпуска воздуха на каждом отопительном приборе и в наивысших точках системы отопления. Отопительная система оснащена циркуляционным насосом и расширительным баком.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Внутри фельдшерско-акушерского пункта над входной дверью установлена электрическая тепловая завеса номинальной мощностью не менее 1,0 кВт.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Водоснабжение: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641E1D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641E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Внутренние сети водоснабжения выполнены в соответствии с СП 30.13330.2012 (актуализированная редакция СНиП 2.04.01-85*) «Внутренний водопровод и канализация зданий». </w:t>
            </w:r>
            <w:r w:rsidRPr="00641E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Горячее водоснабжение: от накопительного водонагревателя, объемом не менее 100 л. В помещениях процедурной, прививочной, кабинете приема, в санузлах и бытовой комнате персонала,  установлены умывальники с подводкой горячей и холодной воды. В  процедурной установлен умывальник с установкой смесителя с бесконтактным управлением.  Умывальники в остальных помещениях оборудуются смесителями с локтевым управлением. В кабинете приема, процедурной, прививочной установлены 2-х секционные мойки из нержавеющей стали. В </w:t>
            </w:r>
            <w:r w:rsidRPr="00641E1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санитарных узлах установлены унитазы в комплекте с бачком белого цвета и раковиной.</w:t>
            </w:r>
          </w:p>
          <w:p w:rsidR="00F72CD2" w:rsidRPr="00641E1D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E1D">
              <w:rPr>
                <w:rFonts w:ascii="Times New Roman" w:hAnsi="Times New Roman"/>
                <w:sz w:val="24"/>
                <w:szCs w:val="24"/>
              </w:rPr>
              <w:t>Холодное водоснабжение: предусмотрено использование привозной воды в закрытых сменяемых емкостях (две емкости из пищевого пластика объемом не менее 2 м</w:t>
            </w:r>
            <w:r w:rsidRPr="00641E1D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641E1D">
              <w:rPr>
                <w:rFonts w:ascii="Times New Roman" w:hAnsi="Times New Roman"/>
                <w:sz w:val="24"/>
                <w:szCs w:val="24"/>
              </w:rPr>
              <w:t xml:space="preserve"> каждая), подача воды по всем помещениям осуществляется насосной станцией.  </w:t>
            </w:r>
            <w:r w:rsidRPr="00641E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Ввод воды через стену (закачка передвижной техникой в емкости хранения воды). 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41E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Трубы  полипропиленовые, подводы к санитарным приборам – гибкие шланги в защитной оплетке. Система водоснабжения по всем помещениям проложена в закрытых коробах.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Канализация: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881DA3" w:rsidRDefault="00F72CD2" w:rsidP="00F72CD2">
            <w:pPr>
              <w:shd w:val="clear" w:color="auto" w:fill="FFFFFF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Канализация  выполнена из полиэтиленовых труб высокой плотности ГОСТ 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51613-2000. К точке вывода предусмотрен беспрепятственный доступ. </w:t>
            </w:r>
            <w:r w:rsidRPr="00881DA3">
              <w:rPr>
                <w:rFonts w:ascii="Times New Roman" w:hAnsi="Times New Roman"/>
                <w:sz w:val="24"/>
                <w:szCs w:val="24"/>
              </w:rPr>
              <w:t>Предусмотрена утепленная емкость для сбора жидких отходов, с возможностью вывозки для переработки и утилизации, объемом не менее 5 м</w:t>
            </w:r>
            <w:r w:rsidRPr="00881DA3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  <w:r w:rsidRPr="00881DA3">
              <w:rPr>
                <w:rFonts w:ascii="Times New Roman" w:hAnsi="Times New Roman"/>
                <w:sz w:val="24"/>
                <w:szCs w:val="24"/>
              </w:rPr>
              <w:t xml:space="preserve">.  Утепление канализационных труб выполнено посредством прокладывания греющего электрического кабеля поверхностного исполнения и скорлупы из </w:t>
            </w:r>
            <w:proofErr w:type="spellStart"/>
            <w:r w:rsidRPr="00881DA3">
              <w:rPr>
                <w:rFonts w:ascii="Times New Roman" w:hAnsi="Times New Roman"/>
                <w:sz w:val="24"/>
                <w:szCs w:val="24"/>
              </w:rPr>
              <w:t>пенополистирола</w:t>
            </w:r>
            <w:proofErr w:type="spellEnd"/>
            <w:r w:rsidRPr="00881DA3">
              <w:rPr>
                <w:rFonts w:ascii="Times New Roman" w:hAnsi="Times New Roman"/>
                <w:sz w:val="24"/>
                <w:szCs w:val="24"/>
              </w:rPr>
              <w:t xml:space="preserve">,  со следующими характеристиками: </w:t>
            </w:r>
          </w:p>
          <w:p w:rsidR="00F72CD2" w:rsidRPr="00881DA3" w:rsidRDefault="00F72CD2" w:rsidP="00F72CD2">
            <w:pPr>
              <w:shd w:val="clear" w:color="auto" w:fill="FFFFFF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прочность 0,2 МПа;</w:t>
            </w:r>
          </w:p>
          <w:p w:rsidR="00F72CD2" w:rsidRPr="00881DA3" w:rsidRDefault="00F72CD2" w:rsidP="00F72CD2">
            <w:pPr>
              <w:shd w:val="clear" w:color="auto" w:fill="FFFFFF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теплопроводность в пределах 0,028-0,035 Вт/(м*К). Система водоотведения по всем помещениям проложена в закрытых коробах.</w:t>
            </w:r>
            <w:r w:rsidRPr="00881DA3">
              <w:rPr>
                <w:rFonts w:ascii="Times New Roman" w:hAnsi="Times New Roman"/>
                <w:sz w:val="24"/>
                <w:szCs w:val="24"/>
              </w:rPr>
              <w:t xml:space="preserve"> Конструкция, расположение и подключение, соответствует СП 30.13330.2012,  СП 31.13330.2012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Вентиляция: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Вентиляция помещений – естественная через створки окон, откидные фрамуги, форточки, оборудованные системой фиксации открывания. Приток воздуха осуществляется через </w:t>
            </w:r>
            <w:proofErr w:type="spellStart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КИВы</w:t>
            </w:r>
            <w:proofErr w:type="spellEnd"/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установленные не менее 1-го на помещение на расстоянии 2 м от пола.  В помещении санузла вентиляция естественная с механическим побуждением канальным вентилятором.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Санузел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Санузел для пациентов оборудован унитазом со сливным бачком, раковиной и обязательной установкой поручней для маломобильных групп населения. Поручень унитаза откидной на стойке и креплением к полу.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Санузел для обслуживающего персонала оборудован унитазом со сливным бачком и раковиной.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000000"/>
                <w:spacing w:val="2"/>
                <w:sz w:val="24"/>
                <w:szCs w:val="24"/>
                <w:shd w:val="clear" w:color="auto" w:fill="FFFFFF"/>
                <w:lang w:eastAsia="ru-RU"/>
              </w:rPr>
              <w:t>Требования к пожарной безопасности: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Здание соответствует требованиям СП 2.13130.2020 «Системы противопожарной защиты. Обеспечение огнестойкости объектов защиты», СП 1.13130.2020 «Системы противопожарной защиты. Эвакуационные пути и выходы», № 123-ФЗ РФ от 22.07.2008 «Технический регламент о требованиях пожарной безопасности» (ред. От 29.07.2017).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Степень огнестойкости здания –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IV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конструктивной пожарной опасности – С</w:t>
            </w:r>
            <w:proofErr w:type="gram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72CD2" w:rsidRPr="00881DA3" w:rsidRDefault="00F72CD2" w:rsidP="00F72C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Класс по функциональной пожарной опасности – Ф3.4.</w:t>
            </w:r>
          </w:p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 здании предусмотрена система пожарной сигнализации и система оповещения о пожаре. Системы с автономным аварийным источником пита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ния. Звуковой, дымовой и световой</w:t>
            </w:r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оповещатели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установлены на внутренней стене здания. Пути эвакуации в помещениях здания оборудованы световыми настенными указателями. Конфигурация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вестибюля-ожидальной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предусматривает установку </w:t>
            </w:r>
            <w:proofErr w:type="spellStart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пеленального</w:t>
            </w:r>
            <w:proofErr w:type="spellEnd"/>
            <w:r w:rsidRPr="00881D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стола без затруднения прохода и не перекрывает выход из здания. 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Требования к обеспечению маломобильных групп населения:</w:t>
            </w:r>
          </w:p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</w:tcPr>
          <w:p w:rsidR="00F72CD2" w:rsidRPr="00881DA3" w:rsidRDefault="00F72CD2" w:rsidP="00F72CD2">
            <w:pPr>
              <w:spacing w:after="0" w:line="240" w:lineRule="auto"/>
              <w:ind w:firstLine="624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881DA3">
              <w:rPr>
                <w:rFonts w:ascii="Times New Roman" w:eastAsia="Times New Roman" w:hAnsi="Times New Roman"/>
                <w:spacing w:val="2"/>
                <w:sz w:val="24"/>
                <w:szCs w:val="24"/>
                <w:lang w:eastAsia="ru-RU"/>
              </w:rPr>
              <w:t xml:space="preserve">Устройство крыльца с козырьком, перилами, разворотной </w:t>
            </w: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площадкой и пандусом с уклоном не более 5 %  для маломобильных групп населения, для покрытия пандуса использовано противоскользящее покрытие, по обеим сторонам пандуса предусмотрены ограждения высотой 0,9 м. и оборудованы двойными поручнями, установленными на высоте 0,7 и 0,9 м. Длина поручней больше длины пандуса с каждой стороны на 0,3 м.,  по внешним боковым краям пандуса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предусмотрены бортики высотой не менее 50 мм</w:t>
            </w:r>
            <w:proofErr w:type="gramStart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., </w:t>
            </w:r>
            <w:proofErr w:type="gramEnd"/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лестничном марше крыльца предусмотрены поручни, аналогичные поручням пандуса. Крыльцо, пандус, лестничный марш, ограждения, перила, а также иные пространства и конструкции здания выполнены в соответствии с требованиями СП 59.13330.2020 «СНиП 35-01-2001» «Доступность зданий и сооружений для маломобильных групп населения». Санузел для маломобильных групп населения оборудован опорными приспособлениями соответствующими постановлению Правительства РФ №363 от 29.03.2019 г. об утверждении программы «Доступная среда».</w:t>
            </w:r>
          </w:p>
        </w:tc>
      </w:tr>
      <w:tr w:rsidR="00F72CD2" w:rsidRPr="00881DA3" w:rsidTr="00F72CD2">
        <w:trPr>
          <w:trHeight w:val="356"/>
        </w:trPr>
        <w:tc>
          <w:tcPr>
            <w:tcW w:w="3936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81DA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Требования к поставке, комплектность, документация:</w:t>
            </w:r>
          </w:p>
        </w:tc>
        <w:tc>
          <w:tcPr>
            <w:tcW w:w="6095" w:type="dxa"/>
          </w:tcPr>
          <w:p w:rsidR="00F72CD2" w:rsidRPr="00881DA3" w:rsidRDefault="00F72CD2" w:rsidP="00F72CD2">
            <w:pPr>
              <w:widowControl w:val="0"/>
              <w:numPr>
                <w:ilvl w:val="2"/>
                <w:numId w:val="0"/>
              </w:numPr>
              <w:tabs>
                <w:tab w:val="num" w:pos="6153"/>
              </w:tabs>
              <w:spacing w:after="0" w:line="240" w:lineRule="auto"/>
              <w:ind w:firstLine="317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81DA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комплектность поставки изделия входят: Модульный фельдшерско-акушерский пункт  в собранном виде.</w:t>
            </w:r>
          </w:p>
        </w:tc>
      </w:tr>
    </w:tbl>
    <w:p w:rsidR="00F72CD2" w:rsidRPr="00FF73A4" w:rsidRDefault="00F72CD2" w:rsidP="00F72CD2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F72CD2" w:rsidRPr="00A57FEF" w:rsidRDefault="00F72CD2" w:rsidP="00F72CD2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F72CD2" w:rsidRPr="00D817F3" w:rsidRDefault="00F72CD2" w:rsidP="00F72CD2">
      <w:pPr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817F3">
        <w:rPr>
          <w:rFonts w:ascii="Times New Roman" w:eastAsia="Times New Roman" w:hAnsi="Times New Roman"/>
          <w:b/>
          <w:sz w:val="24"/>
          <w:szCs w:val="24"/>
        </w:rPr>
        <w:t>Инструкци</w:t>
      </w:r>
      <w:r>
        <w:rPr>
          <w:rFonts w:ascii="Times New Roman" w:eastAsia="Times New Roman" w:hAnsi="Times New Roman"/>
          <w:b/>
          <w:sz w:val="24"/>
          <w:szCs w:val="24"/>
        </w:rPr>
        <w:t>я</w:t>
      </w:r>
      <w:r w:rsidRPr="00D817F3">
        <w:rPr>
          <w:rFonts w:ascii="Times New Roman" w:eastAsia="Times New Roman" w:hAnsi="Times New Roman"/>
          <w:b/>
          <w:sz w:val="24"/>
          <w:szCs w:val="24"/>
        </w:rPr>
        <w:t xml:space="preserve"> значений символов, исп</w:t>
      </w:r>
      <w:r>
        <w:rPr>
          <w:rFonts w:ascii="Times New Roman" w:eastAsia="Times New Roman" w:hAnsi="Times New Roman"/>
          <w:b/>
          <w:sz w:val="24"/>
          <w:szCs w:val="24"/>
        </w:rPr>
        <w:t>ользуемых при заполнении заявки:</w:t>
      </w:r>
    </w:p>
    <w:p w:rsidR="00F72CD2" w:rsidRPr="00D817F3" w:rsidRDefault="00F72CD2" w:rsidP="00F72CD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F72CD2" w:rsidRPr="00D817F3" w:rsidRDefault="00F72CD2" w:rsidP="00F72CD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sz w:val="24"/>
          <w:szCs w:val="24"/>
        </w:rPr>
        <w:t>«не менее»</w:t>
      </w:r>
      <w:r>
        <w:rPr>
          <w:rFonts w:ascii="Times New Roman" w:eastAsia="Times New Roman" w:hAnsi="Times New Roman"/>
          <w:b/>
          <w:sz w:val="24"/>
          <w:szCs w:val="24"/>
        </w:rPr>
        <w:t>, «не менее чем»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должен указать конкретное значение, равное или превышающее, заявленное Заказчиком.</w:t>
      </w:r>
    </w:p>
    <w:p w:rsidR="00F72CD2" w:rsidRPr="00D817F3" w:rsidRDefault="00F72CD2" w:rsidP="00F72CD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sz w:val="24"/>
          <w:szCs w:val="24"/>
        </w:rPr>
        <w:t>«не более»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должен указать конкретное значение, равное или не прев</w:t>
      </w:r>
      <w:r>
        <w:rPr>
          <w:rFonts w:ascii="Times New Roman" w:eastAsia="Times New Roman" w:hAnsi="Times New Roman"/>
          <w:sz w:val="24"/>
          <w:szCs w:val="24"/>
        </w:rPr>
        <w:t>ышающее, заявленное Заказчиком</w:t>
      </w:r>
      <w:r w:rsidRPr="00D817F3">
        <w:rPr>
          <w:rFonts w:ascii="Times New Roman" w:eastAsia="Times New Roman" w:hAnsi="Times New Roman"/>
          <w:sz w:val="24"/>
          <w:szCs w:val="24"/>
        </w:rPr>
        <w:t>.</w:t>
      </w:r>
    </w:p>
    <w:p w:rsidR="00F72CD2" w:rsidRPr="00D817F3" w:rsidRDefault="00F72CD2" w:rsidP="00F72CD2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sz w:val="24"/>
          <w:szCs w:val="24"/>
        </w:rPr>
        <w:t>«не ниже»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должен указать конкретное значение, равное или превышающее, заявленное Заказчиком.</w:t>
      </w:r>
    </w:p>
    <w:p w:rsidR="00F72CD2" w:rsidRPr="00D817F3" w:rsidRDefault="00F72CD2" w:rsidP="00F72CD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817F3">
        <w:rPr>
          <w:rFonts w:ascii="Times New Roman" w:eastAsia="Times New Roman" w:hAnsi="Times New Roman"/>
          <w:sz w:val="24"/>
          <w:szCs w:val="24"/>
        </w:rPr>
        <w:tab/>
        <w:t xml:space="preserve">Показатель, сопровождающийся словами </w:t>
      </w:r>
      <w:r w:rsidRPr="00D817F3">
        <w:rPr>
          <w:rFonts w:ascii="Times New Roman" w:eastAsia="Times New Roman" w:hAnsi="Times New Roman"/>
          <w:b/>
          <w:bCs/>
          <w:sz w:val="24"/>
          <w:szCs w:val="24"/>
        </w:rPr>
        <w:t>«или»</w:t>
      </w:r>
      <w:r w:rsidRPr="00D817F3">
        <w:rPr>
          <w:rFonts w:ascii="Times New Roman" w:eastAsia="Times New Roman" w:hAnsi="Times New Roman"/>
          <w:sz w:val="24"/>
          <w:szCs w:val="24"/>
        </w:rPr>
        <w:t xml:space="preserve"> участник может указать конкретный показатель, из </w:t>
      </w:r>
      <w:proofErr w:type="gramStart"/>
      <w:r w:rsidRPr="00D817F3">
        <w:rPr>
          <w:rFonts w:ascii="Times New Roman" w:eastAsia="Times New Roman" w:hAnsi="Times New Roman"/>
          <w:sz w:val="24"/>
          <w:szCs w:val="24"/>
        </w:rPr>
        <w:t>предлагаемых</w:t>
      </w:r>
      <w:proofErr w:type="gramEnd"/>
      <w:r w:rsidRPr="00D817F3">
        <w:rPr>
          <w:rFonts w:ascii="Times New Roman" w:eastAsia="Times New Roman" w:hAnsi="Times New Roman"/>
          <w:sz w:val="24"/>
          <w:szCs w:val="24"/>
        </w:rPr>
        <w:t xml:space="preserve"> Заказчиком, или может оставить данный показатель в неизменном виде.</w:t>
      </w:r>
    </w:p>
    <w:p w:rsidR="00F72CD2" w:rsidRPr="00D817F3" w:rsidRDefault="00F72CD2" w:rsidP="00F72CD2">
      <w:pPr>
        <w:spacing w:before="40" w:after="0" w:line="275" w:lineRule="exact"/>
        <w:ind w:left="40" w:right="-1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D817F3">
        <w:rPr>
          <w:rFonts w:ascii="Times New Roman" w:eastAsia="Times New Roman" w:hAnsi="Times New Roman"/>
          <w:b/>
          <w:color w:val="000000"/>
          <w:sz w:val="24"/>
          <w:szCs w:val="24"/>
        </w:rPr>
        <w:tab/>
      </w:r>
      <w:r w:rsidRPr="00D817F3">
        <w:rPr>
          <w:rFonts w:ascii="Times New Roman" w:eastAsia="Times New Roman" w:hAnsi="Times New Roman"/>
          <w:bCs/>
          <w:color w:val="000000"/>
          <w:sz w:val="24"/>
          <w:szCs w:val="24"/>
        </w:rPr>
        <w:t>Показатель, сопровождающийся символом</w:t>
      </w:r>
      <w:r w:rsidRPr="000C1BD6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Pr="000C1BD6">
        <w:rPr>
          <w:rFonts w:ascii="Times New Roman" w:eastAsia="Times New Roman" w:hAnsi="Times New Roman"/>
          <w:b/>
          <w:color w:val="000000"/>
          <w:sz w:val="24"/>
          <w:szCs w:val="24"/>
        </w:rPr>
        <w:t>«-</w:t>
      </w:r>
      <w:proofErr w:type="gramEnd"/>
      <w:r w:rsidRPr="000C1BD6">
        <w:rPr>
          <w:rFonts w:ascii="Times New Roman" w:eastAsia="Times New Roman" w:hAnsi="Times New Roman"/>
          <w:b/>
          <w:color w:val="000000"/>
          <w:sz w:val="24"/>
          <w:szCs w:val="24"/>
        </w:rPr>
        <w:t>»</w:t>
      </w:r>
      <w:r w:rsidRPr="00D817F3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Pr="00D817F3">
        <w:rPr>
          <w:rFonts w:ascii="Times New Roman" w:eastAsia="Times New Roman" w:hAnsi="Times New Roman"/>
          <w:bCs/>
          <w:color w:val="000000"/>
          <w:sz w:val="24"/>
          <w:szCs w:val="24"/>
        </w:rPr>
        <w:t>участник может указать конкретное значение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 пределах диапазона</w:t>
      </w:r>
      <w:r w:rsidRPr="00D817F3">
        <w:rPr>
          <w:rFonts w:ascii="Times New Roman" w:eastAsia="Times New Roman" w:hAnsi="Times New Roman"/>
          <w:bCs/>
          <w:color w:val="000000"/>
          <w:sz w:val="24"/>
          <w:szCs w:val="24"/>
        </w:rPr>
        <w:t>, либо оставить данный показатель в неизменном виде.</w:t>
      </w:r>
    </w:p>
    <w:p w:rsidR="004C06E5" w:rsidRDefault="004C06E5"/>
    <w:sectPr w:rsidR="004C06E5" w:rsidSect="00772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2CD2"/>
    <w:rsid w:val="004C06E5"/>
    <w:rsid w:val="007725BF"/>
    <w:rsid w:val="00F21938"/>
    <w:rsid w:val="00F72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D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AE54654A66D53F28F4155FBF06944EA6769EDEE4A3882E71C9069C3E24BBF79E8FCFF215258FA30C53364FO0QEB" TargetMode="External"/><Relationship Id="rId4" Type="http://schemas.openxmlformats.org/officeDocument/2006/relationships/hyperlink" Target="consultantplus://offline/ref=2735866B80E9B467227FB8DA6107E1611EC9DAD524E995CDD0159FDF3CE47EA7F33C847B6F0DC6BDD037317AAFK8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3183</Words>
  <Characters>18147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Александровна Жигалина</dc:creator>
  <cp:lastModifiedBy>Пользователь</cp:lastModifiedBy>
  <cp:revision>2</cp:revision>
  <dcterms:created xsi:type="dcterms:W3CDTF">2022-09-21T07:55:00Z</dcterms:created>
  <dcterms:modified xsi:type="dcterms:W3CDTF">2022-09-28T07:08:00Z</dcterms:modified>
</cp:coreProperties>
</file>