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00011037-ст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68 720,00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19.20.21.325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19.20.21.325-00002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зимнее экологического</w:t>
            </w:r>
            <w:r w:rsidRPr="00ED2571">
              <w:rPr>
                <w:color w:val="000000"/>
                <w:sz w:val="20"/>
                <w:szCs w:val="20"/>
              </w:rPr>
              <w:t xml:space="preserve"> класса К5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зимнее</w:t>
            </w:r>
            <w:r w:rsidRPr="00756620">
              <w:rPr>
                <w:sz w:val="20"/>
                <w:szCs w:val="20"/>
              </w:rPr>
              <w:t xml:space="preserve"> экологического класса не ниже К5 (розничная поставка)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85,90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68 720,00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68 720,00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зимнее</w:t>
            </w:r>
            <w:r w:rsidRPr="00ED2571">
              <w:rPr>
                <w:color w:val="000000"/>
                <w:sz w:val="20"/>
                <w:szCs w:val="20"/>
              </w:rPr>
              <w:t xml:space="preserve"> экологического класса не ниже К5 (розничная поставка)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800.00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Кирова,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осуществляется по факту передачи топливных карт или талонов, в соответствии с п.3.2 настоящего контракта, в течение 7 (семи) рабочих дней с даты подписания Заказчиком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